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项目编号：WTT-23-0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-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X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P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定期检测□日常检测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60"/>
        <w:gridCol w:w="150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lang w:eastAsia="zh-CN"/>
              </w:rPr>
              <w:t>庄浪县南坪图强新型环保建材有限公司</w:t>
            </w:r>
            <w:r>
              <w:rPr>
                <w:rFonts w:hint="eastAsia" w:ascii="宋体" w:hAnsi="宋体" w:cs="宋体"/>
              </w:rPr>
              <w:t>工作场所职业病危害因素</w:t>
            </w:r>
            <w:r>
              <w:rPr>
                <w:rFonts w:hint="eastAsia" w:ascii="宋体" w:hAnsi="宋体" w:cs="宋体"/>
                <w:lang w:eastAsia="zh-CN"/>
              </w:rPr>
              <w:t>现状</w:t>
            </w:r>
            <w:r>
              <w:rPr>
                <w:rFonts w:hint="eastAsia" w:ascii="宋体" w:hAnsi="宋体" w:cs="宋体"/>
                <w:lang w:val="en-US" w:eastAsia="zh-CN"/>
              </w:rPr>
              <w:t>评价</w:t>
            </w:r>
            <w:r>
              <w:rPr>
                <w:rFonts w:hint="eastAsia" w:ascii="宋体" w:hAnsi="宋体" w:cs="宋体"/>
              </w:rPr>
              <w:t>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庄浪县南坪图强新型环保建材有限公司，成立于2018年，位于甘肃省平凉市，是一家以从事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instrText xml:space="preserve"> HYPERLINK "https://www.tianyancha.com/advance/search/e-pc_homeicon" </w:instrTex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非金属矿物制品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为主的企业。企业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instrText xml:space="preserve"> HYPERLINK "https://www.tianyancha.com/company/3213875316" \l "baseInfo" </w:instrTex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注册资本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1200万人民币，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instrText xml:space="preserve"> HYPERLINK "https://www.tianyancha.com/company/3213875316" \l "baseInfo" </w:instrTex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实缴资本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1200万人民币。详细地址为：甘肃省平凉市庄浪县南坪乡大庄村代家沟。企业的经营范围为:建筑材料（盲孔砖）加工、销售。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“三 制造业 (十八) C30非金属矿物制品业 C303 砖瓦、石材等建筑材料制造”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廖宇飞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廖宇飞、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2023.04.22-24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524885" cy="3740150"/>
                  <wp:effectExtent l="0" t="0" r="18415" b="12700"/>
                  <wp:docPr id="1" name="图片 1" descr="lADPKHtET90eQDjNBFDNAzw_828_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ADPKHtET90eQDjNBFDNAzw_828_11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885" cy="374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3"/>
          </w:tcPr>
          <w:p>
            <w:pPr>
              <w:pStyle w:val="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638" w:type="dxa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MjY0ZTkxYzMxMzI3Mzc1OWIxODE4YmY3NzczYzk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77E050C"/>
    <w:rsid w:val="10856040"/>
    <w:rsid w:val="115E3A5E"/>
    <w:rsid w:val="21840392"/>
    <w:rsid w:val="2E227962"/>
    <w:rsid w:val="3B655AD6"/>
    <w:rsid w:val="56A33FC8"/>
    <w:rsid w:val="591100A3"/>
    <w:rsid w:val="5AB33D71"/>
    <w:rsid w:val="5AD77200"/>
    <w:rsid w:val="6D8952C6"/>
    <w:rsid w:val="707F7E44"/>
    <w:rsid w:val="7656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1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a 正文"/>
    <w:basedOn w:val="1"/>
    <w:next w:val="1"/>
    <w:qFormat/>
    <w:uiPriority w:val="0"/>
    <w:pPr>
      <w:spacing w:line="340" w:lineRule="exact"/>
      <w:jc w:val="center"/>
    </w:pPr>
    <w:rPr>
      <w:szCs w:val="32"/>
      <w:lang w:eastAsia="en-US"/>
    </w:rPr>
  </w:style>
  <w:style w:type="character" w:customStyle="1" w:styleId="11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352</Words>
  <Characters>411</Characters>
  <Lines>1</Lines>
  <Paragraphs>1</Paragraphs>
  <TotalTime>1</TotalTime>
  <ScaleCrop>false</ScaleCrop>
  <LinksUpToDate>false</LinksUpToDate>
  <CharactersWithSpaces>454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...</cp:lastModifiedBy>
  <dcterms:modified xsi:type="dcterms:W3CDTF">2023-05-26T07:51:14Z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4D38FA895D5E4B159EDEF6B754609A3B</vt:lpwstr>
  </property>
</Properties>
</file>