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294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</w:t>
      </w:r>
      <w:r>
        <w:rPr>
          <w:rFonts w:hint="eastAsia" w:cs="Times New Roman"/>
          <w:b/>
          <w:bCs/>
          <w:sz w:val="24"/>
          <w:lang w:val="en-US" w:eastAsia="zh-CN"/>
        </w:rPr>
        <w:t>XP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甘肃陆陇商贸有限公司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张厚银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联系人电话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13837608012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b/>
                <w:bCs/>
                <w:sz w:val="24"/>
              </w:rPr>
              <w:t>甘肃省定西市通渭县碧玉镇碧玉村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张浩岩、蒋陕峰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2023.9.15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49145" cy="1536065"/>
                  <wp:effectExtent l="0" t="0" r="8255" b="3175"/>
                  <wp:docPr id="5" name="图片 5" descr="fe95a0cf1b6f1fa0ee6855bca06c1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e95a0cf1b6f1fa0ee6855bca06c11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39340" cy="1104900"/>
                  <wp:effectExtent l="0" t="0" r="7620" b="7620"/>
                  <wp:docPr id="6" name="图片 6" descr="63f6622e07081274ac9e5c6a5a15c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3f6622e07081274ac9e5c6a5a15c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34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56130" cy="970915"/>
                  <wp:effectExtent l="0" t="0" r="1270" b="4445"/>
                  <wp:docPr id="7" name="图片 7" descr="07cdccf3a905cacd27c2cbc25df8e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7cdccf3a905cacd27c2cbc25df8ef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130" cy="97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39340" cy="1104900"/>
                  <wp:effectExtent l="0" t="0" r="7620" b="7620"/>
                  <wp:docPr id="8" name="图片 8" descr="3af51611def458fa2282f257de82c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af51611def458fa2282f257de82c7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34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ascii="方正细黑一简体" w:hAnsi="Arial" w:eastAsia="方正细黑一简体" w:cs="Arial"/>
            </w:rPr>
            <w:t>2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NjMxZjZlNGUzZTUwZTlkYjc3ZjZlNGMwYzRlZWIifQ=="/>
  </w:docVars>
  <w:rsids>
    <w:rsidRoot w:val="005E6F1A"/>
    <w:rsid w:val="00027346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C6785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0A17454"/>
    <w:rsid w:val="32E86094"/>
    <w:rsid w:val="3B655AD6"/>
    <w:rsid w:val="437A118F"/>
    <w:rsid w:val="534357AA"/>
    <w:rsid w:val="591F2498"/>
    <w:rsid w:val="68B7070F"/>
    <w:rsid w:val="6D9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Arial" w:hAnsi="Arial" w:eastAsia="仿宋_GB2312" w:cs="Arial"/>
      <w:spacing w:val="6"/>
      <w:sz w:val="28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35</Words>
  <Characters>200</Characters>
  <Lines>1</Lines>
  <Paragraphs>1</Paragraphs>
  <TotalTime>13</TotalTime>
  <ScaleCrop>false</ScaleCrop>
  <LinksUpToDate>false</LinksUpToDate>
  <CharactersWithSpaces>234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2023-12-02T01:09:20Z</cp:lastPrinted>
  <dcterms:modified xsi:type="dcterms:W3CDTF">2023-12-02T01:20:35Z</dcterms:modified>
  <dc:title>被检查部门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044516FB417C4FC1840709F62EA167D8_13</vt:lpwstr>
  </property>
</Properties>
</file>