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23-221-DJ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0"/>
        <w:gridCol w:w="5"/>
        <w:gridCol w:w="1265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甘肃美龙生物科技有限公司职业病危害因素定期检测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甘肃美龙生物科技有限公司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位于甘肃省白银市平川区中区经济开发区，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左右通达、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zh-CN" w:eastAsia="zh-CN"/>
              </w:rPr>
              <w:t>与靖远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县相邻，交通运输十分便利。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成立于2016年10月08日，是一家专业从事猪教槽、保育饲料和浓缩饲料、全价配合饲料的研发、生产及销售于一体的现代化高新科技企业。公司始终以帮助养殖户提高养殖技术、获取最大效益为己任， 通过资源不断整合、利义相互融合寻求快速发展的最佳模式。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经营范围为:农、林、牧、渔产品批发；农、林、牧、渔专用机械制造；猪的饲养；农业机械批发；畜牧专业及辅助性服务；饲料加工 。甘肃美龙重点发展饲料（生物科技）、种猪繁育、养殖基地、养殖设备、食品加工五大板块，打造成为产业链延伸工程。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饲料加工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企业地址、联系人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白银市平川区中区经济开发区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177 9430 8896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洪江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2023.6.15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67310</wp:posOffset>
                  </wp:positionV>
                  <wp:extent cx="2365375" cy="1517650"/>
                  <wp:effectExtent l="0" t="0" r="15875" b="6350"/>
                  <wp:wrapTopAndBottom/>
                  <wp:docPr id="1" name="图片 2" descr="iwEcAqNqcGcDAQTRBqoF0QUABrDUFNyHXnh6fASBRclMgOEAB9Ie2ifPCAAJomltCgAL0gADgao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wEcAqNqcGcDAQTRBqoF0QUABrDUFNyHXnh6fASBRclMgOEAB9Ie2ifPCAAJomltCgAL0gADgao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7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59055</wp:posOffset>
                  </wp:positionV>
                  <wp:extent cx="2396490" cy="1569720"/>
                  <wp:effectExtent l="0" t="0" r="3810" b="11430"/>
                  <wp:wrapTopAndBottom/>
                  <wp:docPr id="2" name="图片 3" descr="iwEcAqNqcGcDAQTRBqoF0QUABrB_ytLJ3ZJZoASBRcjPwMUAB9Ie2ifPCAAJomltCgAL0gAEKns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wEcAqNqcGcDAQTRBqoF0QUABrB_ytLJ3ZJZoASBRcjPwMUAB9Ie2ifPCAAJomltCgAL0gAEKns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132715</wp:posOffset>
                  </wp:positionV>
                  <wp:extent cx="2317115" cy="1572895"/>
                  <wp:effectExtent l="0" t="0" r="6985" b="8255"/>
                  <wp:wrapTopAndBottom/>
                  <wp:docPr id="3" name="图片 4" descr="iwEcAqNqcGcDAQTRD8AF0QvQBrBVzQYArfp36ASBRcbkgMUAB9Ie2ifPCAAJomltCgAL0gAS4Gs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wEcAqNqcGcDAQTRD8AF0QvQBrBVzQYArfp36ASBRcbkgMUAB9Ie2ifPCAAJomltCgAL0gAS4Gs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40005</wp:posOffset>
                  </wp:positionV>
                  <wp:extent cx="2340610" cy="1623695"/>
                  <wp:effectExtent l="0" t="0" r="2540" b="14605"/>
                  <wp:wrapTopAndBottom/>
                  <wp:docPr id="4" name="图片 5" descr="iwEcAqNqcGcDAQTRB4AF0QQ4BrAhi0bzthzSsgSBRcnHgOEAB9Ie2ifPCAAJomltCgAL0gAPwyk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wEcAqNqcGcDAQTRB4AF0QQ4BrAhi0bzthzSsgSBRcnHgOEAB9Ie2ifPCAAJomltCgAL0gAPwyk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9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4D60185"/>
    <w:rsid w:val="282734C2"/>
    <w:rsid w:val="3B655AD6"/>
    <w:rsid w:val="456A7DE0"/>
    <w:rsid w:val="4A7C6A65"/>
    <w:rsid w:val="4F3A2512"/>
    <w:rsid w:val="56A33FC8"/>
    <w:rsid w:val="5AD77200"/>
    <w:rsid w:val="65E93DC7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333</Words>
  <Characters>380</Characters>
  <Lines>1</Lines>
  <Paragraphs>1</Paragraphs>
  <TotalTime>1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2023-06-29T14:12:46Z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4D38FA895D5E4B159EDEF6B754609A3B</vt:lpwstr>
  </property>
</Properties>
</file>